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29" w:rsidRDefault="00AA1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VALUTAZIONE  </w:t>
      </w:r>
    </w:p>
    <w:p w:rsidR="00544A29" w:rsidRDefault="00AA1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PROVA SCRITTA E ORALE ITALIANO</w:t>
      </w:r>
    </w:p>
    <w:p w:rsidR="00770E37" w:rsidRDefault="00770E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02"/>
        <w:gridCol w:w="5028"/>
        <w:gridCol w:w="1576"/>
      </w:tblGrid>
      <w:tr w:rsidR="00B54FE9" w:rsidTr="00B54FE9">
        <w:tc>
          <w:tcPr>
            <w:tcW w:w="3302" w:type="dxa"/>
            <w:vAlign w:val="center"/>
          </w:tcPr>
          <w:p w:rsidR="00B54FE9" w:rsidRDefault="00B54FE9" w:rsidP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Indicatori Peso</w:t>
            </w:r>
          </w:p>
        </w:tc>
        <w:tc>
          <w:tcPr>
            <w:tcW w:w="5028" w:type="dxa"/>
          </w:tcPr>
          <w:p w:rsidR="00B54FE9" w:rsidRDefault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Descrittori</w:t>
            </w:r>
          </w:p>
        </w:tc>
        <w:tc>
          <w:tcPr>
            <w:tcW w:w="1576" w:type="dxa"/>
          </w:tcPr>
          <w:p w:rsidR="00B54FE9" w:rsidRDefault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Punteggio</w:t>
            </w:r>
          </w:p>
        </w:tc>
      </w:tr>
      <w:tr w:rsidR="00B54FE9" w:rsidTr="00770E37">
        <w:trPr>
          <w:trHeight w:val="699"/>
        </w:trPr>
        <w:tc>
          <w:tcPr>
            <w:tcW w:w="3302" w:type="dxa"/>
            <w:vMerge w:val="restart"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Conoscenza dei  contenuti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  aderenza alla  traccia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35%</w:t>
            </w:r>
          </w:p>
          <w:p w:rsidR="00B54FE9" w:rsidRDefault="00B54FE9" w:rsidP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Informazioni approfondite con rielaborazioni  </w:t>
            </w:r>
          </w:p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personali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>3,15-3,50</w:t>
            </w:r>
          </w:p>
        </w:tc>
      </w:tr>
      <w:tr w:rsidR="00B54FE9" w:rsidTr="00770E37">
        <w:trPr>
          <w:trHeight w:val="32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Informazioni corrette e approfondite.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B54FE9" w:rsidTr="00770E37">
        <w:trPr>
          <w:trHeight w:val="358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c) Informazioni corrette.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2,45</w:t>
            </w:r>
          </w:p>
        </w:tc>
      </w:tr>
      <w:tr w:rsidR="00B54FE9" w:rsidTr="00770E37">
        <w:trPr>
          <w:trHeight w:val="420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d) Informazioni essenziali.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2,1</w:t>
            </w:r>
          </w:p>
        </w:tc>
      </w:tr>
      <w:tr w:rsidR="00B54FE9" w:rsidTr="00770E37">
        <w:trPr>
          <w:trHeight w:val="41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e) Informazioni approssimative e frammentarie.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1,75</w:t>
            </w:r>
          </w:p>
        </w:tc>
      </w:tr>
      <w:tr w:rsidR="00B54FE9" w:rsidTr="00770E37">
        <w:trPr>
          <w:trHeight w:val="418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f) Informazioni parziali e non pertinenti.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1,4</w:t>
            </w:r>
          </w:p>
        </w:tc>
      </w:tr>
      <w:tr w:rsidR="00B54FE9" w:rsidTr="00770E37">
        <w:trPr>
          <w:trHeight w:val="416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g) Nessuna informazione sull'argomento proposto.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1,05</w:t>
            </w:r>
          </w:p>
        </w:tc>
      </w:tr>
      <w:tr w:rsidR="00B54FE9" w:rsidTr="00770E37">
        <w:trPr>
          <w:trHeight w:val="388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Capacità di analisi  e di  </w:t>
            </w:r>
            <w:r w:rsidR="007B75D7">
              <w:rPr>
                <w:i/>
                <w:color w:val="000000"/>
                <w:sz w:val="21"/>
                <w:szCs w:val="21"/>
              </w:rPr>
              <w:t>argomentazione</w:t>
            </w: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40%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a) Sviluppo coerente, organico, ricco di spunti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3,60-4,00</w:t>
            </w:r>
          </w:p>
        </w:tc>
      </w:tr>
      <w:tr w:rsidR="00B54FE9" w:rsidTr="00770E37">
        <w:trPr>
          <w:trHeight w:val="41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b) Sviluppo coerente, organico, analisi corretta.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3,2</w:t>
            </w:r>
          </w:p>
        </w:tc>
      </w:tr>
      <w:tr w:rsidR="00B54FE9" w:rsidTr="00770E37">
        <w:trPr>
          <w:trHeight w:val="70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Elaborazione discretamente coerente e organica, 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analisi abbastanza corretta.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B54FE9" w:rsidTr="00770E37">
        <w:trPr>
          <w:trHeight w:val="699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d) Sviluppo logico lineare, con collegamenti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semplici, analisi essenziale.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2,4</w:t>
            </w:r>
          </w:p>
        </w:tc>
      </w:tr>
      <w:tr w:rsidR="00B54FE9" w:rsidTr="00770E37">
        <w:trPr>
          <w:trHeight w:val="695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e) Sviluppo elementare e poco organico, incerta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l'analisi.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</w:tr>
      <w:tr w:rsidR="00B54FE9" w:rsidTr="00770E37">
        <w:trPr>
          <w:trHeight w:val="42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f) Elaborazione incoerente e disorganica.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1,6</w:t>
            </w:r>
          </w:p>
        </w:tc>
      </w:tr>
      <w:tr w:rsidR="00B54FE9" w:rsidTr="00770E37">
        <w:trPr>
          <w:trHeight w:val="272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g) Nessuna argomentazione. 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1,2</w:t>
            </w:r>
          </w:p>
        </w:tc>
      </w:tr>
      <w:tr w:rsidR="00B54FE9" w:rsidTr="00770E37">
        <w:trPr>
          <w:trHeight w:val="810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Competenza  espressiva e lessicale  e uso del linguaggio  specifico</w:t>
            </w: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25%</w:t>
            </w:r>
          </w:p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Espressione fluida, ricchezza lessicale e  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padronanza del linguaggio specifico. 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2,25-2,50</w:t>
            </w:r>
          </w:p>
        </w:tc>
      </w:tr>
      <w:tr w:rsidR="00B54FE9" w:rsidTr="00770E37">
        <w:trPr>
          <w:trHeight w:val="841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b) Buona proprietà dei mezzi espressivi e del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linguaggio specifico.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</w:tr>
      <w:tr w:rsidR="00B54FE9" w:rsidTr="00770E37">
        <w:trPr>
          <w:trHeight w:val="71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Lessico corretto e discreta proprietà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terminologica.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1,75</w:t>
            </w:r>
          </w:p>
        </w:tc>
      </w:tr>
      <w:tr w:rsidR="00B54FE9" w:rsidTr="00770E37">
        <w:trPr>
          <w:trHeight w:val="849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d) Esposizione semplice con sufficiente correttezza e </w:t>
            </w:r>
            <w:r w:rsidRPr="007B75D7">
              <w:rPr>
                <w:color w:val="000000"/>
                <w:sz w:val="21"/>
                <w:szCs w:val="21"/>
              </w:rPr>
              <w:t>proprietà terminologica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1,5</w:t>
            </w:r>
          </w:p>
        </w:tc>
      </w:tr>
      <w:tr w:rsidR="00B54FE9" w:rsidTr="00770E37">
        <w:trPr>
          <w:trHeight w:val="677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e) Esposizione incerta, lessico impreciso e generico.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1,25</w:t>
            </w:r>
          </w:p>
        </w:tc>
      </w:tr>
      <w:tr w:rsidR="00B54FE9" w:rsidTr="00770E37">
        <w:trPr>
          <w:trHeight w:val="560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f) Esposizione confusa, lessico impreciso e generico.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</w:tr>
      <w:tr w:rsidR="00B54FE9" w:rsidTr="00770E37">
        <w:trPr>
          <w:trHeight w:val="43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g) Comunicazione inesistente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>0,75</w:t>
            </w:r>
          </w:p>
        </w:tc>
      </w:tr>
    </w:tbl>
    <w:p w:rsidR="00FB7336" w:rsidRDefault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</w:p>
    <w:p w:rsidR="00FB7336" w:rsidRDefault="00FB7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4A29" w:rsidRDefault="00AA1B50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VALUTAZIONE</w:t>
      </w:r>
    </w:p>
    <w:p w:rsidR="00544A29" w:rsidRDefault="00AA1B50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FORMATIVI</w:t>
      </w:r>
    </w:p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02"/>
        <w:gridCol w:w="5028"/>
        <w:gridCol w:w="1576"/>
      </w:tblGrid>
      <w:tr w:rsidR="00FB7336" w:rsidTr="00770E37">
        <w:trPr>
          <w:trHeight w:val="377"/>
        </w:trPr>
        <w:tc>
          <w:tcPr>
            <w:tcW w:w="3302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Indicatori</w:t>
            </w:r>
          </w:p>
        </w:tc>
        <w:tc>
          <w:tcPr>
            <w:tcW w:w="5028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Descrittori</w:t>
            </w:r>
          </w:p>
        </w:tc>
        <w:tc>
          <w:tcPr>
            <w:tcW w:w="1576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Punteggio</w:t>
            </w:r>
          </w:p>
        </w:tc>
      </w:tr>
      <w:tr w:rsidR="00FB7336" w:rsidTr="00770E37">
        <w:trPr>
          <w:trHeight w:val="536"/>
        </w:trPr>
        <w:tc>
          <w:tcPr>
            <w:tcW w:w="3302" w:type="dxa"/>
            <w:vMerge w:val="restart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RICONOSCERE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L’IMPORTANZA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DELL’ATTIVITÀ</w:t>
            </w:r>
          </w:p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i/>
                <w:color w:val="000000"/>
                <w:sz w:val="21"/>
                <w:szCs w:val="21"/>
              </w:rPr>
              <w:t>DIDATTICA IN CLASSE</w:t>
            </w: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a) partecipa attivamente alla lezione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02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concentra l’attenzione sull’argomento trattato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63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c) interviene con osservazioni opportune durante la  </w:t>
            </w:r>
            <w:r w:rsidRPr="00FB7336">
              <w:rPr>
                <w:color w:val="000000"/>
                <w:sz w:val="21"/>
                <w:szCs w:val="21"/>
              </w:rPr>
              <w:t>lezione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16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d) richiede chiarimenti e approfondimenti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0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e) collabora spontaneamente alle attività proposte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855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f) coglie nelle interrogazioni dei compagni un  </w:t>
            </w:r>
            <w:r>
              <w:rPr>
                <w:color w:val="000000"/>
                <w:sz w:val="36"/>
                <w:szCs w:val="36"/>
                <w:vertAlign w:val="subscript"/>
              </w:rPr>
              <w:t>momento di apprendimento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00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g) limita le assenze a motivi di stretta necessità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5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RICONOSCERE E  VALORIZZARE LE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PROPRIE ATTITUDINI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a) individua i propri punti di forza e di debolezza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5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fa scelte autonome di approfondimento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1410"/>
        </w:trPr>
        <w:tc>
          <w:tcPr>
            <w:tcW w:w="3302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CAPACITÀ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DI</w:t>
            </w:r>
            <w:proofErr w:type="spellEnd"/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6" w:lineRule="auto"/>
              <w:ind w:right="14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MUOVERSI IN MODO  AUTONOMO NEL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MONDO DELLA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CULTURA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/>
              <w:ind w:left="-40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a) coglie le occasioni formative offerte dalla scuola  </w:t>
            </w:r>
            <w:r>
              <w:rPr>
                <w:color w:val="000000"/>
                <w:sz w:val="36"/>
                <w:szCs w:val="36"/>
                <w:vertAlign w:val="subscript"/>
              </w:rPr>
              <w:t>anche in vista delle scelte future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</w:tbl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44A29" w:rsidSect="00544A29">
      <w:headerReference w:type="default" r:id="rId6"/>
      <w:footerReference w:type="default" r:id="rId7"/>
      <w:pgSz w:w="11900" w:h="16840"/>
      <w:pgMar w:top="1397" w:right="1080" w:bottom="1521" w:left="105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B5" w:rsidRDefault="00250FB5" w:rsidP="00AD7CF3">
      <w:pPr>
        <w:spacing w:line="240" w:lineRule="auto"/>
      </w:pPr>
      <w:r>
        <w:separator/>
      </w:r>
    </w:p>
  </w:endnote>
  <w:endnote w:type="continuationSeparator" w:id="0">
    <w:p w:rsidR="00250FB5" w:rsidRDefault="00250FB5" w:rsidP="00AD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F3" w:rsidRDefault="00AD7CF3">
    <w:pPr>
      <w:pStyle w:val="Pidipagina"/>
    </w:pPr>
    <w:r w:rsidRPr="00AD7CF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-45720</wp:posOffset>
          </wp:positionV>
          <wp:extent cx="6124575" cy="523875"/>
          <wp:effectExtent l="19050" t="0" r="9525" b="0"/>
          <wp:wrapNone/>
          <wp:docPr id="3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B5" w:rsidRDefault="00250FB5" w:rsidP="00AD7CF3">
      <w:pPr>
        <w:spacing w:line="240" w:lineRule="auto"/>
      </w:pPr>
      <w:r>
        <w:separator/>
      </w:r>
    </w:p>
  </w:footnote>
  <w:footnote w:type="continuationSeparator" w:id="0">
    <w:p w:rsidR="00250FB5" w:rsidRDefault="00250FB5" w:rsidP="00AD7C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F3" w:rsidRDefault="00AD7CF3">
    <w:pPr>
      <w:pStyle w:val="Intestazione"/>
    </w:pPr>
    <w:r w:rsidRPr="00AD7CF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435610</wp:posOffset>
          </wp:positionH>
          <wp:positionV relativeFrom="paragraph">
            <wp:posOffset>104775</wp:posOffset>
          </wp:positionV>
          <wp:extent cx="5476875" cy="800100"/>
          <wp:effectExtent l="19050" t="0" r="9525" b="0"/>
          <wp:wrapNone/>
          <wp:docPr id="3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44A29"/>
    <w:rsid w:val="00250FB5"/>
    <w:rsid w:val="00321720"/>
    <w:rsid w:val="00544A29"/>
    <w:rsid w:val="00770E37"/>
    <w:rsid w:val="007B75D7"/>
    <w:rsid w:val="00846CA3"/>
    <w:rsid w:val="00AA1B50"/>
    <w:rsid w:val="00AD7CF3"/>
    <w:rsid w:val="00B54FE9"/>
    <w:rsid w:val="00C17E58"/>
    <w:rsid w:val="00CB72DC"/>
    <w:rsid w:val="00FB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CA3"/>
  </w:style>
  <w:style w:type="paragraph" w:styleId="Titolo1">
    <w:name w:val="heading 1"/>
    <w:basedOn w:val="normal"/>
    <w:next w:val="normal"/>
    <w:rsid w:val="00544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44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44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44A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44A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44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44A29"/>
  </w:style>
  <w:style w:type="table" w:customStyle="1" w:styleId="TableNormal">
    <w:name w:val="Table Normal"/>
    <w:rsid w:val="00544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44A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44A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4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44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7C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7CF3"/>
  </w:style>
  <w:style w:type="paragraph" w:styleId="Pidipagina">
    <w:name w:val="footer"/>
    <w:basedOn w:val="Normale"/>
    <w:link w:val="PidipaginaCarattere"/>
    <w:uiPriority w:val="99"/>
    <w:semiHidden/>
    <w:unhideWhenUsed/>
    <w:rsid w:val="00AD7C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7CF3"/>
  </w:style>
  <w:style w:type="table" w:styleId="Grigliatabella">
    <w:name w:val="Table Grid"/>
    <w:basedOn w:val="Tabellanormale"/>
    <w:uiPriority w:val="59"/>
    <w:rsid w:val="00B54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2</cp:revision>
  <dcterms:created xsi:type="dcterms:W3CDTF">2021-02-27T12:58:00Z</dcterms:created>
  <dcterms:modified xsi:type="dcterms:W3CDTF">2021-02-27T12:58:00Z</dcterms:modified>
</cp:coreProperties>
</file>