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C" w:rsidRDefault="0079312C"/>
    <w:tbl>
      <w:tblPr>
        <w:tblpPr w:leftFromText="141" w:rightFromText="141" w:vertAnchor="page" w:horzAnchor="margin" w:tblpXSpec="center" w:tblpY="2611"/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773"/>
        <w:gridCol w:w="992"/>
        <w:gridCol w:w="1134"/>
        <w:gridCol w:w="1559"/>
        <w:gridCol w:w="1134"/>
        <w:gridCol w:w="1134"/>
        <w:gridCol w:w="1109"/>
        <w:gridCol w:w="232"/>
      </w:tblGrid>
      <w:tr w:rsidR="00D351E2" w:rsidRPr="00281E82" w:rsidTr="00774C6D">
        <w:trPr>
          <w:trHeight w:val="1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lang w:eastAsia="it-IT" w:bidi="ar-SA"/>
              </w:rPr>
              <w:t>Livelli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F24D03"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F24D03"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Base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Intermedio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6.5&lt;P≤8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Avanzato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keepNext/>
              <w:widowControl/>
              <w:suppressAutoHyphens w:val="0"/>
              <w:autoSpaceDN/>
              <w:spacing w:line="653" w:lineRule="atLeast"/>
              <w:textAlignment w:val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Pr="00281E82" w:rsidRDefault="00D351E2" w:rsidP="00D351E2">
            <w:pPr>
              <w:keepNext/>
              <w:widowControl/>
              <w:suppressAutoHyphens w:val="0"/>
              <w:autoSpaceDN/>
              <w:spacing w:line="469" w:lineRule="atLeast"/>
              <w:textAlignment w:val="auto"/>
              <w:outlineLvl w:val="1"/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it-IT"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inesistenti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frammentarie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A527A">
              <w:rPr>
                <w:rFonts w:ascii="Arial" w:hAnsi="Arial" w:cs="Arial"/>
                <w:sz w:val="16"/>
                <w:szCs w:val="16"/>
              </w:rPr>
              <w:t>onoscenze corrette degli aspetti fondamentali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A527A">
              <w:rPr>
                <w:rFonts w:ascii="Arial" w:hAnsi="Arial" w:cs="Arial"/>
                <w:sz w:val="16"/>
                <w:szCs w:val="16"/>
              </w:rPr>
              <w:t>onoscenze complete ma non sempre approfondite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Conoscenze c</w:t>
            </w: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omplete,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approfondite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 rielaborate in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modo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2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237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32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F7769E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138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Comprensione ed esposizione degli argomenti con uso della terminologia specifica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  <w:p w:rsidR="00D351E2" w:rsidRPr="00725705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Si esprime in maniera scorretta e impropria</w:t>
            </w:r>
          </w:p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con un linguaggio non sempre corretto e appropriato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i contenuti in modo essenziale con un linguaggio semplice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si esprime con un linguaggio tecnico appropriato e corretto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con proprietà di linguaggio tecnico in modo specifico, articolato e fluido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105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F7769E" w:rsidRDefault="00D351E2" w:rsidP="00D351E2">
            <w:pPr>
              <w:spacing w:line="318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-3,5</w:t>
            </w:r>
          </w:p>
        </w:tc>
        <w:tc>
          <w:tcPr>
            <w:tcW w:w="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667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Pr="00DA04E1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DA04E1">
              <w:rPr>
                <w:rFonts w:ascii="Arial" w:hAnsi="Arial" w:cs="Arial"/>
                <w:b/>
                <w:sz w:val="20"/>
                <w:szCs w:val="20"/>
              </w:rPr>
              <w:t xml:space="preserve">Utilizzare le conoscenze e le abilità acquisite in modo appropriato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30260D" w:rsidRDefault="00D351E2" w:rsidP="00D351E2">
            <w:pPr>
              <w:spacing w:line="318" w:lineRule="atLeast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30260D">
              <w:rPr>
                <w:rFonts w:ascii="Arial" w:hAnsi="Arial" w:cs="Arial"/>
                <w:sz w:val="16"/>
                <w:szCs w:val="16"/>
              </w:rPr>
              <w:t>non sa utilizzare le conoscenze acquisite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</w:t>
            </w:r>
            <w:r w:rsidRPr="0030260D">
              <w:rPr>
                <w:rFonts w:ascii="Arial" w:hAnsi="Arial" w:cs="Arial"/>
                <w:sz w:val="16"/>
                <w:szCs w:val="16"/>
              </w:rPr>
              <w:t>applica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30260D">
              <w:rPr>
                <w:rFonts w:ascii="Arial" w:hAnsi="Arial" w:cs="Arial"/>
                <w:sz w:val="16"/>
                <w:szCs w:val="16"/>
              </w:rPr>
              <w:t xml:space="preserve">  le conoscenze acquisite in modo essenziale </w:t>
            </w:r>
            <w:r>
              <w:rPr>
                <w:rFonts w:ascii="Arial" w:hAnsi="Arial" w:cs="Arial"/>
                <w:sz w:val="16"/>
                <w:szCs w:val="16"/>
              </w:rPr>
              <w:t>e a volte parziale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</w:t>
            </w:r>
            <w:r w:rsidRPr="0030260D">
              <w:rPr>
                <w:rFonts w:ascii="Arial" w:hAnsi="Arial" w:cs="Arial"/>
                <w:sz w:val="16"/>
                <w:szCs w:val="16"/>
              </w:rPr>
              <w:t>applica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30260D">
              <w:rPr>
                <w:rFonts w:ascii="Arial" w:hAnsi="Arial" w:cs="Arial"/>
                <w:sz w:val="16"/>
                <w:szCs w:val="16"/>
              </w:rPr>
              <w:t xml:space="preserve">  le conoscenze acquisite in modo essenziale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30260D">
              <w:rPr>
                <w:rFonts w:ascii="Arial" w:hAnsi="Arial" w:cs="Arial"/>
                <w:sz w:val="16"/>
                <w:szCs w:val="16"/>
              </w:rPr>
              <w:t>con correttezza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30260D">
              <w:rPr>
                <w:rFonts w:ascii="Arial" w:hAnsi="Arial" w:cs="Arial"/>
                <w:sz w:val="16"/>
                <w:szCs w:val="16"/>
              </w:rPr>
              <w:t>sa applicare  le conoscenze acquisite in modo competente e corretto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69604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696042">
              <w:rPr>
                <w:rFonts w:ascii="Arial" w:hAnsi="Arial" w:cs="Arial"/>
                <w:sz w:val="16"/>
                <w:szCs w:val="16"/>
              </w:rPr>
              <w:t xml:space="preserve">sa scegliere e applicare con sicurezza le tecniche, le procedure più adeguate in tutte le situazioni proposte  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274"/>
        </w:trPr>
        <w:tc>
          <w:tcPr>
            <w:tcW w:w="1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D47DD8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-2,5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774C6D">
        <w:trPr>
          <w:trHeight w:val="32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FF034E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FF034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D351E2" w:rsidRPr="00B621F5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B621F5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GRIGLIA DI VALUTAZIONE </w:t>
      </w:r>
      <w:r w:rsidR="000D0C4B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 </w:t>
      </w:r>
      <w:r w:rsidR="00891EA7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>Enogastronomia</w:t>
      </w:r>
    </w:p>
    <w:p w:rsidR="00D351E2" w:rsidRPr="00B621F5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</w:p>
    <w:p w:rsidR="00D351E2" w:rsidRPr="00B621F5" w:rsidRDefault="00D351E2" w:rsidP="00D351E2">
      <w:pPr>
        <w:pStyle w:val="Standard"/>
        <w:autoSpaceDE w:val="0"/>
        <w:jc w:val="center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B621F5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>PROVE ORALI</w:t>
      </w:r>
      <w:r w:rsidRPr="00B621F5">
        <w:rPr>
          <w:b/>
          <w:sz w:val="18"/>
          <w:szCs w:val="18"/>
        </w:rPr>
        <w:t xml:space="preserve">e </w:t>
      </w:r>
      <w:r w:rsidR="00B621F5" w:rsidRPr="00B621F5">
        <w:rPr>
          <w:b/>
          <w:sz w:val="18"/>
          <w:szCs w:val="18"/>
        </w:rPr>
        <w:t>SCRITTE</w:t>
      </w:r>
    </w:p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>GRIGLIA</w:t>
      </w:r>
      <w:r w:rsidRPr="00CE6D49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 DI VALUTAZIONE </w:t>
      </w:r>
    </w:p>
    <w:p w:rsidR="00D351E2" w:rsidRPr="00CE6D49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</w:p>
    <w:p w:rsidR="00D351E2" w:rsidRPr="00D351E2" w:rsidRDefault="00D351E2" w:rsidP="00D351E2">
      <w:pPr>
        <w:pStyle w:val="Standard"/>
        <w:autoSpaceDE w:val="0"/>
        <w:jc w:val="center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CE6D49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PROVE </w:t>
      </w:r>
      <w:r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SCRITTO/PRATICHE </w:t>
      </w:r>
    </w:p>
    <w:p w:rsidR="00D351E2" w:rsidRDefault="00D351E2"/>
    <w:p w:rsidR="00D351E2" w:rsidRDefault="00D351E2"/>
    <w:tbl>
      <w:tblPr>
        <w:tblpPr w:leftFromText="141" w:rightFromText="141" w:vertAnchor="text" w:horzAnchor="margin" w:tblpXSpec="center" w:tblpY="52"/>
        <w:tblW w:w="107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2043"/>
        <w:gridCol w:w="951"/>
        <w:gridCol w:w="1180"/>
        <w:gridCol w:w="1230"/>
        <w:gridCol w:w="1134"/>
        <w:gridCol w:w="1134"/>
        <w:gridCol w:w="1134"/>
        <w:gridCol w:w="523"/>
      </w:tblGrid>
      <w:tr w:rsidR="00395152" w:rsidRPr="00D351E2" w:rsidTr="00774C6D">
        <w:trPr>
          <w:trHeight w:val="16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eastAsia="Times New Roman" w:cs="Times New Roman"/>
                <w:b/>
                <w:kern w:val="0"/>
                <w:lang w:eastAsia="it-IT" w:bidi="ar-SA"/>
              </w:rPr>
              <w:t>Livelli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Intermedio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6.5&lt;P≤8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Avanzato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keepNext/>
              <w:widowControl/>
              <w:suppressAutoHyphens w:val="0"/>
              <w:autoSpaceDN/>
              <w:spacing w:line="653" w:lineRule="atLeast"/>
              <w:textAlignment w:val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keepNext/>
              <w:widowControl/>
              <w:suppressAutoHyphens w:val="0"/>
              <w:autoSpaceDN/>
              <w:spacing w:line="469" w:lineRule="atLeast"/>
              <w:textAlignment w:val="auto"/>
              <w:outlineLvl w:val="1"/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it-IT" w:bidi="ar-SA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inesistenti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frammentarie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51E2">
              <w:rPr>
                <w:rFonts w:ascii="Arial" w:hAnsi="Arial" w:cs="Arial"/>
                <w:sz w:val="16"/>
                <w:szCs w:val="16"/>
              </w:rPr>
              <w:t>Conoscenze corrette degli aspetti fondamentali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sz w:val="16"/>
                <w:szCs w:val="16"/>
              </w:rPr>
              <w:t>Conoscenze complete ma non sempre approfondite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Conoscenze complete,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approfondite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 rielaborate in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modo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10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323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Capacità di organizzare il proprio lavoro rispettando l’etica professionale e utilizzando in modo appropriato gli strumenti e le attrezzature del settore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Effettua analisi e sintesi scorrette.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Sintetizza e valuta in modo semplice 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parziale . Commette errori nella lettura e compilazione dei documenti aziendali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Riesce ad individuare e ad utilizzare i dati da applicare nella soluzione di casi in maniera pertinente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Sintetizza, rielabora e valuta in modo autonomo e coerente. Sa reperire 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comprendere i dati aziendali presentati nelle forme più diverse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Esprime valutazioni personali argomentate,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operando critiche costruttive e propositive. Sa reperire,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gestire, analizzare e rielaborare dati aziendali in qualunque forma in completa autonomia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927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307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 xml:space="preserve">Gestire le varie fasi del lavoro con capacità relazionali e </w:t>
            </w:r>
            <w:r w:rsidRPr="00D351E2">
              <w:rPr>
                <w:rFonts w:ascii="Arial" w:hAnsi="Arial" w:cs="Arial"/>
                <w:b/>
                <w:kern w:val="0"/>
                <w:sz w:val="20"/>
                <w:szCs w:val="20"/>
                <w:lang w:eastAsia="it-IT" w:bidi="ar-SA"/>
              </w:rPr>
              <w:t>applicando in modo coerente, logico e razionale le procedure studiate.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Commette gravi errori sistematici nell’esecuzione di compiti semplici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Riesce con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 xml:space="preserve">difficoltà e solo se guidato ad individuare la soluzione di compiti semplici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cs="Times New Roman"/>
                <w:kern w:val="0"/>
                <w:sz w:val="18"/>
                <w:szCs w:val="18"/>
                <w:lang w:eastAsia="it-IT" w:bidi="ar-SA"/>
              </w:rPr>
              <w:t>Riesce ad individuare la soluzione di problemi aziendali semplici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 orienta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adeguatamente nella soluzione di situazioni aziendali complesse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 xml:space="preserve">Sa </w:t>
            </w:r>
            <w:r w:rsidRPr="00D351E2">
              <w:rPr>
                <w:rFonts w:cs="Times New Roman"/>
                <w:kern w:val="0"/>
                <w:sz w:val="18"/>
                <w:szCs w:val="18"/>
                <w:lang w:eastAsia="it-IT" w:bidi="ar-SA"/>
              </w:rPr>
              <w:t>gestire, analizzare e rielaborare dati aziendali in completa autonomia, in tutte le fasi di lavoro</w:t>
            </w:r>
          </w:p>
        </w:tc>
        <w:tc>
          <w:tcPr>
            <w:tcW w:w="5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129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774C6D">
        <w:trPr>
          <w:trHeight w:val="32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Pr="00D351E2" w:rsidRDefault="00D351E2" w:rsidP="00D351E2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bidi="ar-SA"/>
        </w:rPr>
      </w:pPr>
      <w:r w:rsidRPr="00D351E2">
        <w:rPr>
          <w:rFonts w:eastAsia="Times New Roman" w:cs="Times New Roman"/>
          <w:b/>
          <w:kern w:val="0"/>
          <w:sz w:val="23"/>
          <w:szCs w:val="23"/>
          <w:lang w:bidi="ar-SA"/>
        </w:rPr>
        <w:t>Griglia di valutazione per simulazioni di casi nel contesto professionale</w:t>
      </w:r>
    </w:p>
    <w:p w:rsidR="00D351E2" w:rsidRDefault="00D351E2"/>
    <w:p w:rsidR="00D351E2" w:rsidRDefault="00D351E2"/>
    <w:p w:rsidR="00D351E2" w:rsidRDefault="00D351E2"/>
    <w:p w:rsidR="00D351E2" w:rsidRDefault="00D351E2"/>
    <w:tbl>
      <w:tblPr>
        <w:tblW w:w="10774" w:type="dxa"/>
        <w:tblInd w:w="-318" w:type="dxa"/>
        <w:tblLayout w:type="fixed"/>
        <w:tblLook w:val="0000"/>
      </w:tblPr>
      <w:tblGrid>
        <w:gridCol w:w="10774"/>
      </w:tblGrid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Perpetua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LA DIVISA E LA PRESENZAordinatissima-molto curata-curata-più che accettabile-accettabile-disordinata              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5   4  3  2  1  0 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PORTAMENTOraffinato-disinvolto-corretto- non sempre corretto-non sempre sicuro-impacciato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L’IGIENE PERSONALEmolto curata-curata-idonea- trascurata-molto trascurata-inesistente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COMPORTAMENTO             disinvolto- attento-corretto- incontrollato- aggressivo- timido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LA VOCE                                          carismatica -gradevole-indifferente-sgradevole-aggressiva-timorosa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L’ESPRESSIONE  DEL VOLTO                     molto sicura-sicura- interessata-indifferente-sufficiente -esitante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REGISTRO LINGUISTICOprofessionale-distaccato- sostenuto-amichevole-non sempre corretto-scorretto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VOCABOLARIO                                          ricco-corretto-pertinente-non corretto-limitato-non idoneo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ABILITA’ PROFESSIONALI                                  ottime-soddisfacenti-adeguate-sufficienti-limitate-non adeguate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APPLICAZIONE DELLE PROCEDURE      ottimale-soddisfacente-adeguate-sufficiente-insufficiente- non adeguate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snapToGrid w:val="0"/>
              <w:jc w:val="center"/>
              <w:textAlignment w:val="auto"/>
              <w:rPr>
                <w:rFonts w:ascii="Perpetua" w:eastAsia="Times New Roman" w:hAnsi="Perpetua" w:cs="Perpetua"/>
                <w:b/>
                <w:kern w:val="0"/>
                <w:lang w:bidi="ar-SA"/>
              </w:rPr>
            </w:pPr>
          </w:p>
        </w:tc>
      </w:tr>
      <w:tr w:rsidR="00D351E2" w:rsidRPr="00D351E2" w:rsidTr="00866D5D">
        <w:trPr>
          <w:trHeight w:val="63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tabs>
                <w:tab w:val="left" w:pos="6390"/>
              </w:tabs>
              <w:autoSpaceDN/>
              <w:textAlignment w:val="auto"/>
              <w:rPr>
                <w:rFonts w:ascii="Perpetua" w:eastAsia="Times New Roman" w:hAnsi="Perpetua" w:cs="Perpetua"/>
                <w:b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Punteggio globale ottenuto  :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8"/>
                <w:szCs w:val="28"/>
                <w:lang w:bidi="ar-SA"/>
              </w:rPr>
              <w:t>________ 50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      VALUTAZIONE IN CENTESIMI                        </w:t>
            </w: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>/100</w:t>
            </w:r>
          </w:p>
          <w:p w:rsidR="00D351E2" w:rsidRPr="00D351E2" w:rsidRDefault="00D351E2" w:rsidP="00D351E2">
            <w:pPr>
              <w:widowControl/>
              <w:tabs>
                <w:tab w:val="left" w:pos="6390"/>
              </w:tabs>
              <w:autoSpaceDN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 xml:space="preserve">50 </w:t>
            </w:r>
            <w:r w:rsidRPr="00D351E2">
              <w:rPr>
                <w:rFonts w:ascii="Perpetua" w:eastAsia="Times New Roman" w:hAnsi="Perpetua" w:cs="Perpetua"/>
                <w:bCs/>
                <w:kern w:val="0"/>
                <w:lang w:bidi="ar-SA"/>
              </w:rPr>
              <w:t>corrisponde a</w:t>
            </w: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 xml:space="preserve"> 100               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>quindi  100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x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 xml:space="preserve"> punteggio ottenuto 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: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 xml:space="preserve"> 50  = VALUTAZIONE</w:t>
            </w:r>
          </w:p>
        </w:tc>
      </w:tr>
    </w:tbl>
    <w:p w:rsidR="00D351E2" w:rsidRDefault="00D351E2"/>
    <w:sectPr w:rsidR="00D351E2" w:rsidSect="006C4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76" w:rsidRDefault="00D21F76" w:rsidP="00774C6D">
      <w:r>
        <w:separator/>
      </w:r>
    </w:p>
  </w:endnote>
  <w:endnote w:type="continuationSeparator" w:id="0">
    <w:p w:rsidR="00D21F76" w:rsidRDefault="00D21F76" w:rsidP="0077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Pidipagina"/>
    </w:pPr>
    <w:r w:rsidRPr="00774C6D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-37465</wp:posOffset>
          </wp:positionV>
          <wp:extent cx="6124575" cy="523875"/>
          <wp:effectExtent l="19050" t="0" r="9525" b="0"/>
          <wp:wrapNone/>
          <wp:docPr id="1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76" w:rsidRDefault="00D21F76" w:rsidP="00774C6D">
      <w:r>
        <w:separator/>
      </w:r>
    </w:p>
  </w:footnote>
  <w:footnote w:type="continuationSeparator" w:id="0">
    <w:p w:rsidR="00D21F76" w:rsidRDefault="00D21F76" w:rsidP="0077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Intestazione"/>
    </w:pPr>
    <w:r w:rsidRPr="00774C6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1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1E2"/>
    <w:rsid w:val="000D0C4B"/>
    <w:rsid w:val="000F4E95"/>
    <w:rsid w:val="0011383F"/>
    <w:rsid w:val="00395152"/>
    <w:rsid w:val="005140F1"/>
    <w:rsid w:val="00620E45"/>
    <w:rsid w:val="006C4B2D"/>
    <w:rsid w:val="00774C6D"/>
    <w:rsid w:val="0079312C"/>
    <w:rsid w:val="00891EA7"/>
    <w:rsid w:val="00B621F5"/>
    <w:rsid w:val="00D21F76"/>
    <w:rsid w:val="00D351E2"/>
    <w:rsid w:val="00F9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5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4C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C6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4C6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C6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6298-D706-4BE5-AB2C-47FA292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pc_hp</cp:lastModifiedBy>
  <cp:revision>8</cp:revision>
  <cp:lastPrinted>2020-12-22T10:13:00Z</cp:lastPrinted>
  <dcterms:created xsi:type="dcterms:W3CDTF">2019-11-15T19:22:00Z</dcterms:created>
  <dcterms:modified xsi:type="dcterms:W3CDTF">2021-03-08T10:36:00Z</dcterms:modified>
</cp:coreProperties>
</file>